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3E34BA" w:rsidRPr="005755B0" w14:paraId="4AA9DF63" w14:textId="77777777" w:rsidTr="00757566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33B0C8CF" w14:textId="77777777" w:rsidR="003E34BA" w:rsidRPr="005755B0" w:rsidRDefault="003E34BA" w:rsidP="00757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БЮЛЕТЕНЬ №  1  для голосування на  загальних зборах</w:t>
            </w:r>
          </w:p>
          <w:p w14:paraId="20148159" w14:textId="77777777" w:rsidR="003E34BA" w:rsidRPr="005755B0" w:rsidRDefault="003E34BA" w:rsidP="00757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(щодо інших питань порядку денного, крім обрання органів товариства)</w:t>
            </w:r>
          </w:p>
          <w:p w14:paraId="4DB2E622" w14:textId="77777777" w:rsidR="003E34BA" w:rsidRPr="005755B0" w:rsidRDefault="003E34BA" w:rsidP="0075756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bCs/>
                <w:sz w:val="20"/>
                <w:szCs w:val="20"/>
              </w:rPr>
              <w:t>ПРИВАТНЕ АКЦІОНЕРНЕ ТОВАРИСТВО «РЕМОНТНО-БУДІВЕЛЬНЕ УПРАВЛІННЯ - 3»</w:t>
            </w:r>
          </w:p>
          <w:p w14:paraId="63338608" w14:textId="77777777" w:rsidR="003E34BA" w:rsidRPr="005755B0" w:rsidRDefault="003E34BA" w:rsidP="00757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sz w:val="20"/>
                <w:szCs w:val="20"/>
              </w:rPr>
              <w:t>(код за ЄДРПОУ 05387618)</w:t>
            </w:r>
          </w:p>
        </w:tc>
      </w:tr>
      <w:tr w:rsidR="003E34BA" w:rsidRPr="005755B0" w14:paraId="11954CA3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1EBA3D1" w14:textId="77777777" w:rsidR="003E34BA" w:rsidRPr="00567794" w:rsidRDefault="003E34BA" w:rsidP="00757566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7F8745F" w14:textId="77777777" w:rsidR="003E34BA" w:rsidRPr="00567794" w:rsidRDefault="003E34BA" w:rsidP="00757566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27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квітня 2023 року</w:t>
            </w:r>
          </w:p>
        </w:tc>
      </w:tr>
      <w:tr w:rsidR="003E34BA" w:rsidRPr="005755B0" w14:paraId="26DE8ABA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A9C0E3" w14:textId="77777777" w:rsidR="003E34BA" w:rsidRPr="00567794" w:rsidRDefault="003E34BA" w:rsidP="00757566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Дату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6599CBB" w14:textId="77777777" w:rsidR="003E34BA" w:rsidRPr="00567794" w:rsidRDefault="003E34BA" w:rsidP="00757566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11 години 17 квітня 2023 року.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 Бюлетені приймаються виключно до 18 години 27 квітня 2023 року (дата і час завершення голосування).</w:t>
            </w:r>
          </w:p>
        </w:tc>
      </w:tr>
      <w:tr w:rsidR="003E34BA" w:rsidRPr="005755B0" w14:paraId="75354E2D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27CBE6A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6A1AEDE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3BE43A1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E34BA" w:rsidRPr="005755B0" w14:paraId="357849BA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9051A9F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3DB0C6B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E34BA" w:rsidRPr="005755B0" w14:paraId="3F6F06EF" w14:textId="77777777" w:rsidTr="00757566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2B12AED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1C8B571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BE586BE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E34BA" w:rsidRPr="005755B0" w14:paraId="69514857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169C57C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1.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Розгляд звіту Директора за 2021 – 2022 роки та прийняття рішення за наслідками розгляду такого звіту.         </w:t>
            </w:r>
          </w:p>
          <w:p w14:paraId="71C9E489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/>
                <w:sz w:val="20"/>
                <w:szCs w:val="20"/>
              </w:rPr>
              <w:t>Затвердити звіт Директора за 2021 – 2022 роки. Роботу Директора визнати задовільною.</w:t>
            </w:r>
          </w:p>
        </w:tc>
      </w:tr>
      <w:tr w:rsidR="003E34BA" w:rsidRPr="005755B0" w14:paraId="66117982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E511316" w14:textId="77777777" w:rsidR="003E34BA" w:rsidRPr="005755B0" w:rsidRDefault="003E34BA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75618E5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D05E43A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7C1529E9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76F548E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2.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Розгляд звіту Наглядової ради Товариства за 2021 - 2022 роки та прийняття рішення за наслідками розгляду такого звіту. </w:t>
            </w:r>
          </w:p>
          <w:p w14:paraId="150BADBF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/>
                <w:sz w:val="20"/>
                <w:szCs w:val="20"/>
              </w:rPr>
              <w:t>Затвердити звіт Наглядової ради Товариства за 2021 – 2022 роки. Роботу Наглядової ради Товариства визнати задовільною.</w:t>
            </w:r>
          </w:p>
        </w:tc>
      </w:tr>
      <w:tr w:rsidR="003E34BA" w:rsidRPr="005755B0" w14:paraId="680D2987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2F5D252" w14:textId="77777777" w:rsidR="003E34BA" w:rsidRPr="005755B0" w:rsidRDefault="003E34BA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B92653D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A4299A4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3264D36D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BFF111C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Питання 3.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Розгляд висновків аудиторського звіту суб’єкта аудиторської діяльності та затвердження заходів за результатами розгляду такого звіту. </w:t>
            </w:r>
          </w:p>
          <w:p w14:paraId="63403CAE" w14:textId="77777777" w:rsidR="003E34BA" w:rsidRPr="005755B0" w:rsidRDefault="003E34BA" w:rsidP="00757566">
            <w:pPr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/>
                <w:color w:val="000000"/>
                <w:sz w:val="20"/>
                <w:szCs w:val="20"/>
              </w:rPr>
              <w:t xml:space="preserve">Не розглядати висновки аудиторського звіту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суб’єкта аудиторської діяльності та не затверджувати заходи за результатами розгляду такого звіту, у зв’язку з відсутністю такого звіту (Товариство не є підприємством, перевірка фінансово-господарської діяльності якого  підлягає обов’язковому аудиту. Ініціативний аудит за 2021 – 2022 роки також не проводився).</w:t>
            </w:r>
          </w:p>
        </w:tc>
      </w:tr>
      <w:tr w:rsidR="003E34BA" w:rsidRPr="005755B0" w14:paraId="484BBF33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10FCBDF" w14:textId="77777777" w:rsidR="003E34BA" w:rsidRPr="005755B0" w:rsidRDefault="003E34BA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60D0A98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D5C483B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625C2367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CF2D11C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</w:t>
            </w:r>
            <w:r w:rsidRPr="005755B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Затвердження результатів фінансово-господарської діяльності за 2021 – 2022 роки. Затвердження розподілу прибутку Товариства.</w:t>
            </w:r>
          </w:p>
          <w:p w14:paraId="2A4CE0E3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/>
                <w:sz w:val="20"/>
                <w:szCs w:val="20"/>
              </w:rPr>
              <w:t xml:space="preserve">Затвердити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результати фінансово-господарської діяльності за 2021 – 2022 роки. Затвердити наступний порядок розподілу прибутку Товариства: Прибуток в розмірі 7 683,08 грн. (сім тисяч шістсот вісімдесят три гривні 08 коп.) направити на покриття збитків минулих періодів.</w:t>
            </w:r>
          </w:p>
        </w:tc>
      </w:tr>
      <w:tr w:rsidR="003E34BA" w:rsidRPr="005755B0" w14:paraId="7FE688E8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3C71671" w14:textId="77777777" w:rsidR="003E34BA" w:rsidRPr="005755B0" w:rsidRDefault="003E34BA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7B48F5F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4ECEA55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44C2BC48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A1F17CE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Питання 5.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Затвердження річного звіту Товариства за 2022 рік (річної інформації емітента в розумінні ст.126 Закону України «Про ринки капіталу та організовані товарні ринки»).</w:t>
            </w:r>
          </w:p>
          <w:p w14:paraId="25E1067D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Затвердити річний звіт Товариства за 2022 рік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(річну інформацію емітента в розумінні ст.126 Закону України «Про ринки капіталу та організовані товарні ринки»).</w:t>
            </w:r>
          </w:p>
        </w:tc>
      </w:tr>
      <w:tr w:rsidR="003E34BA" w:rsidRPr="005755B0" w14:paraId="3F7638B5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DBDEBF2" w14:textId="77777777" w:rsidR="003E34BA" w:rsidRPr="005755B0" w:rsidRDefault="003E34BA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A11A24A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18BE8FF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36C57003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56A48D4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6. </w:t>
            </w: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Прийняття рішення про внесення змін до Статуту Товариства.</w:t>
            </w:r>
          </w:p>
          <w:p w14:paraId="4978B505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proofErr w:type="spellStart"/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Внести</w:t>
            </w:r>
            <w:proofErr w:type="spellEnd"/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 зміни до Статуту Товариства шляхом затвердження його нової редакції.</w:t>
            </w:r>
          </w:p>
        </w:tc>
      </w:tr>
      <w:tr w:rsidR="003E34BA" w:rsidRPr="005755B0" w14:paraId="08FCAE06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F66EBD8" w14:textId="77777777" w:rsidR="003E34BA" w:rsidRPr="005755B0" w:rsidRDefault="003E34BA" w:rsidP="00757566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6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A72A59F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B488AAB" w14:textId="77777777" w:rsidR="003E34BA" w:rsidRPr="005755B0" w:rsidRDefault="003E34BA" w:rsidP="00757566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0B8DF846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0ACBEDF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7.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Визначення осіб, які уповноважуються на підписання Статуту Товариства в новій редакції. Визначення особи, якій надаватимуться повноваження щодо забезпечення державної реєстрації нової редакції Статуту Товариства.</w:t>
            </w:r>
          </w:p>
          <w:p w14:paraId="5E234EAC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Визначити особами, які уповноважуються на підписання Статуту Товариства в новій редакції Головуючого та секретаря Загальних зборів. Визначити особою, якій надаватимуться повноваження щодо забезпечення державної реєстрації нової редакції Статуту Товариства, Директора.</w:t>
            </w:r>
          </w:p>
        </w:tc>
      </w:tr>
      <w:tr w:rsidR="003E34BA" w:rsidRPr="005755B0" w14:paraId="158BAD0E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07A5C76" w14:textId="77777777" w:rsidR="003E34BA" w:rsidRPr="005755B0" w:rsidRDefault="003E34BA" w:rsidP="00757566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ВАРІАНТИ ГОЛОСУВАННЯ з 7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139FC33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88D087E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2FB08F37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A7ABF6A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Питання 8.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Затвердження Положення про наглядову раду в новій редакції.</w:t>
            </w:r>
          </w:p>
          <w:p w14:paraId="420E0A5E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Затвердити Положення про наглядову раду в новій редакції.</w:t>
            </w:r>
          </w:p>
        </w:tc>
      </w:tr>
      <w:tr w:rsidR="003E34BA" w:rsidRPr="005755B0" w14:paraId="1B192899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3730D5E" w14:textId="77777777" w:rsidR="003E34BA" w:rsidRPr="005755B0" w:rsidRDefault="003E34BA" w:rsidP="00757566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8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FD4A791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2D2609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47420FC9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F373CD7" w14:textId="77777777" w:rsidR="003E34BA" w:rsidRPr="005755B0" w:rsidRDefault="003E34BA" w:rsidP="00757566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9. </w:t>
            </w:r>
            <w:r w:rsidRPr="005755B0">
              <w:rPr>
                <w:rFonts w:ascii="Cambria" w:hAnsi="Cambria" w:cs="Cambria"/>
                <w:color w:val="000000"/>
                <w:sz w:val="20"/>
                <w:szCs w:val="20"/>
              </w:rPr>
              <w:t>Прийняття рішення про припинення повноважень Голови та членів наглядової ради.</w:t>
            </w:r>
          </w:p>
          <w:p w14:paraId="7525D3FA" w14:textId="77777777" w:rsidR="003E34BA" w:rsidRPr="005755B0" w:rsidRDefault="003E34BA" w:rsidP="0075756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hAnsi="Cambria"/>
                <w:sz w:val="20"/>
                <w:szCs w:val="20"/>
              </w:rPr>
              <w:t xml:space="preserve">Припинити повноваження Голови наглядової ради </w:t>
            </w:r>
            <w:r w:rsidRPr="005755B0">
              <w:rPr>
                <w:rFonts w:ascii="Cambria" w:eastAsia="Times New Roman" w:hAnsi="Cambria" w:cs="Times New Roman"/>
                <w:bCs/>
                <w:sz w:val="20"/>
                <w:szCs w:val="20"/>
                <w:lang w:eastAsia="uk-UA"/>
              </w:rPr>
              <w:t>Мельника Андрія Петровича, члена наглядової ради Даценко Олени Анатоліївни, члена наглядової ради Юн Ніни Михайлівни.</w:t>
            </w:r>
          </w:p>
        </w:tc>
      </w:tr>
      <w:tr w:rsidR="003E34BA" w:rsidRPr="005755B0" w14:paraId="530FB3B0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C64767F" w14:textId="77777777" w:rsidR="003E34BA" w:rsidRPr="005755B0" w:rsidRDefault="003E34BA" w:rsidP="00757566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9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522D63B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4816515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5812E6A9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C6D57B5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11. </w:t>
            </w: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Затвердження умов цивільно-правових договорів/ трудових договорів (контрактів), що укладаються з членами наглядової ради, встановлення розміру їх винагороди, обрання особи, уповноваженої на підписання договорів (контрактів) з ними.</w:t>
            </w:r>
          </w:p>
          <w:p w14:paraId="29CA7C65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Затвердити </w:t>
            </w: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умови цивільно-правових договорів, що укладаються з членами наглядової ради. Винагороду членам наглядової ради не сплачувати. Обрати особою, уповноваженою на підписання договорів з ними Директора Товариства.</w:t>
            </w:r>
          </w:p>
        </w:tc>
      </w:tr>
      <w:tr w:rsidR="003E34BA" w:rsidRPr="005755B0" w14:paraId="1150BAF2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827D588" w14:textId="77777777" w:rsidR="003E34BA" w:rsidRPr="005755B0" w:rsidRDefault="003E34BA" w:rsidP="00757566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37B113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2910A9C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1289C1DE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1209933" w14:textId="77777777" w:rsidR="003E34BA" w:rsidRPr="005755B0" w:rsidRDefault="003E34BA" w:rsidP="00757566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Питання 12. </w:t>
            </w:r>
            <w:r w:rsidRPr="005755B0">
              <w:rPr>
                <w:rFonts w:ascii="Cambria" w:hAnsi="Cambria"/>
                <w:sz w:val="20"/>
                <w:szCs w:val="20"/>
              </w:rPr>
      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      </w:r>
          </w:p>
          <w:p w14:paraId="3AA22EB7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hAnsi="Cambria"/>
                <w:b/>
                <w:sz w:val="20"/>
                <w:szCs w:val="20"/>
              </w:rPr>
              <w:t xml:space="preserve">Проект рішення: 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14:paraId="7AE6FF9D" w14:textId="77777777" w:rsidR="003E34BA" w:rsidRPr="005755B0" w:rsidRDefault="003E34BA" w:rsidP="00757566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договори/угоди на виконання робіт (надання послуг)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 граничною сукупною вартістю </w:t>
            </w: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до 5 000 000,00 грн. (п’ять мільйонів гривень 00 коп.)(вартість одного договору/угоди) 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тис. грн.;</w:t>
            </w:r>
          </w:p>
          <w:p w14:paraId="0AE921C6" w14:textId="77777777" w:rsidR="003E34BA" w:rsidRPr="005755B0" w:rsidRDefault="003E34BA" w:rsidP="00757566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договори/угоди на придбання автомобілів, техніки, обладнання та засобів малої механізації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 xml:space="preserve"> граничною сукупною вартістю </w:t>
            </w:r>
            <w:r w:rsidRPr="005755B0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до 2 000 000,00 грн. (два мільйони гривень 00 коп.) (вартість одного договору/угоди) </w:t>
            </w: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тис. грн.</w:t>
            </w:r>
          </w:p>
          <w:p w14:paraId="2CC16699" w14:textId="77777777" w:rsidR="003E34BA" w:rsidRPr="005755B0" w:rsidRDefault="003E34BA" w:rsidP="00757566">
            <w:pPr>
              <w:pStyle w:val="a3"/>
              <w:widowControl/>
              <w:spacing w:after="0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5755B0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Уповноважити на укладання та підписання таких правочинів Директора Товариства.</w:t>
            </w:r>
          </w:p>
        </w:tc>
      </w:tr>
      <w:tr w:rsidR="003E34BA" w:rsidRPr="005755B0" w14:paraId="793E6C8F" w14:textId="77777777" w:rsidTr="00757566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9DF23A9" w14:textId="77777777" w:rsidR="003E34BA" w:rsidRPr="005755B0" w:rsidRDefault="003E34BA" w:rsidP="00757566">
            <w:pPr>
              <w:spacing w:before="120" w:after="1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067E536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CD101C9" w14:textId="77777777" w:rsidR="003E34BA" w:rsidRPr="005755B0" w:rsidRDefault="003E34BA" w:rsidP="00757566">
            <w:pPr>
              <w:spacing w:before="120" w:after="1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E34BA" w:rsidRPr="005755B0" w14:paraId="5296B2F0" w14:textId="77777777" w:rsidTr="00757566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14:paraId="6AD7A38E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DAA774B" w14:textId="77777777" w:rsidR="003E34BA" w:rsidRPr="005755B0" w:rsidRDefault="003E34BA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3FAF6A10" w14:textId="77777777" w:rsidR="003E34BA" w:rsidRPr="005755B0" w:rsidRDefault="003E34BA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784BE5B" w14:textId="77777777" w:rsidR="003E34BA" w:rsidRPr="005755B0" w:rsidRDefault="003E34BA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4A877B08" w14:textId="77777777" w:rsidR="003E34BA" w:rsidRPr="005755B0" w:rsidRDefault="003E34BA" w:rsidP="0075756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A87B0CE" w14:textId="77777777" w:rsidR="003E34BA" w:rsidRPr="005755B0" w:rsidRDefault="003E34BA" w:rsidP="0075756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FD1379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4EAF"/>
    <w:multiLevelType w:val="hybridMultilevel"/>
    <w:tmpl w:val="D01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BA"/>
    <w:rsid w:val="003E34BA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E99C"/>
  <w15:chartTrackingRefBased/>
  <w15:docId w15:val="{892857D0-B6E2-40BF-AEC1-5EB9BCB0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4B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34BA"/>
    <w:pPr>
      <w:spacing w:after="120"/>
    </w:pPr>
  </w:style>
  <w:style w:type="character" w:customStyle="1" w:styleId="a4">
    <w:name w:val="Основний текст Знак"/>
    <w:basedOn w:val="a0"/>
    <w:link w:val="a3"/>
    <w:qFormat/>
    <w:rsid w:val="003E34BA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3687</Words>
  <Characters>2103</Characters>
  <Application>Microsoft Office Word</Application>
  <DocSecurity>0</DocSecurity>
  <Lines>17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2023-04-14T06:21:00Z</dcterms:created>
  <dcterms:modified xsi:type="dcterms:W3CDTF">2023-04-14T06:22:00Z</dcterms:modified>
</cp:coreProperties>
</file>